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1E1B3C"/>
        </w:rPr>
        <w:t>Lumen Rota × Falkstad Group Renewal Path Decision</w:t>
      </w:r>
    </w:p>
    <w:p>
      <w:r>
        <w:rPr>
          <w:i/>
        </w:rPr>
        <w:t>September 2026 · Contract Renewal · Interview Panel</w:t>
      </w:r>
    </w:p>
    <w:p>
      <w:pPr>
        <w:pStyle w:val="Heading1"/>
      </w:pPr>
      <w:r>
        <w:rPr>
          <w:rFonts w:ascii="Arial" w:hAnsi="Arial"/>
          <w:color w:val="1E1B3C"/>
        </w:rPr>
        <w:t>Theory of the deal</w:t>
      </w:r>
    </w:p>
    <w:p>
      <w:r>
        <w:t>Falkstad is Lumen Rota's third-largest account and it is contracting: €840K down from €890K, 0.94x NRR, and only 62.7% of licensed seats active. The scheduling lead is asking for 20% off, citing a parent-group framework agreement with a competing vendor. Our recommendation is Path B — restructure to per-active-seat consumption pricing, resetting Year 1 to €560K and rebuilding through activation recovery and the 144 undeployed stores. We considered Path A (flat renewal) but it leaves the churn threat live; Path C would concede 64.7% of value the way the comparable account did.</w:t>
      </w:r>
    </w:p>
    <w:p>
      <w:pPr>
        <w:pStyle w:val="Heading1"/>
      </w:pPr>
      <w:r>
        <w:rPr>
          <w:rFonts w:ascii="Arial" w:hAnsi="Arial"/>
          <w:color w:val="1E1B3C"/>
        </w:rPr>
        <w:t>Meeting overview</w:t>
      </w:r>
    </w:p>
    <w:p>
      <w:r>
        <w:rPr>
          <w:b/>
        </w:rPr>
        <w:t xml:space="preserve">Purpose: </w:t>
      </w:r>
      <w:r>
        <w:t>Internal panel review of the recommended renewal path for the Falkstad account, with the three-year value case and the gated recovery motion. This is the meeting where the CSM position is defended before the customer conversation.</w:t>
      </w:r>
    </w:p>
    <w:p>
      <w:r>
        <w:rPr>
          <w:b/>
        </w:rPr>
        <w:t>Attendees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Our side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Their side</w:t>
            </w:r>
          </w:p>
        </w:tc>
      </w:tr>
      <w:tr>
        <w:tc>
          <w:tcPr>
            <w:tcW w:type="dxa" w:w="4320"/>
          </w:tcPr>
          <w:p>
            <w:r>
              <w:t>Candidate CSM (presenter)</w:t>
            </w:r>
          </w:p>
        </w:tc>
        <w:tc>
          <w:tcPr>
            <w:tcW w:type="dxa" w:w="4320"/>
          </w:tcPr>
          <w:p>
            <w:r>
              <w:t>Falkstad's scheduling lead (requesting 20% reduction)</w:t>
            </w:r>
          </w:p>
        </w:tc>
      </w:tr>
      <w:tr>
        <w:tc>
          <w:tcPr>
            <w:tcW w:type="dxa" w:w="4320"/>
          </w:tcPr>
          <w:p>
            <w:r>
              <w:t>CS Director (panel chair)</w:t>
            </w:r>
          </w:p>
        </w:tc>
        <w:tc>
          <w:tcPr>
            <w:tcW w:type="dxa" w:w="4320"/>
          </w:tcPr>
          <w:p>
            <w:r>
              <w:t>Falkstad's CIO (blocking calendar until diagnosis agreed)</w:t>
            </w:r>
          </w:p>
        </w:tc>
      </w:tr>
      <w:tr>
        <w:tc>
          <w:tcPr>
            <w:tcW w:type="dxa" w:w="4320"/>
          </w:tcPr>
          <w:p>
            <w:r>
              <w:t>Sales Director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Head of Solutions Architecture</w:t>
            </w:r>
          </w:p>
        </w:tc>
        <w:tc>
          <w:tcPr>
            <w:tcW w:type="dxa" w:w="4320"/>
          </w:tcPr>
          <w:p/>
        </w:tc>
      </w:tr>
    </w:tbl>
    <w:p>
      <w:r>
        <w:rPr>
          <w:b/>
        </w:rPr>
        <w:t>Desired outcomes</w:t>
      </w:r>
    </w:p>
    <w:p>
      <w:r>
        <w:rPr>
          <w:b/>
        </w:rPr>
        <w:t>Must Have</w:t>
      </w:r>
    </w:p>
    <w:p>
      <w:pPr>
        <w:pStyle w:val="ListBullet"/>
      </w:pPr>
      <w:r>
        <w:t>Panel endorses Path B (consumption pricing at €560K Year 1) as the recommended renewal path</w:t>
      </w:r>
    </w:p>
    <w:p>
      <w:pPr>
        <w:pStyle w:val="ListBullet"/>
      </w:pPr>
      <w:r>
        <w:t>Panel accepts the substance rule-out of Paths A and C rather than a ranking</w:t>
      </w:r>
    </w:p>
    <w:p>
      <w:r>
        <w:rPr>
          <w:b/>
        </w:rPr>
        <w:t>Should Have</w:t>
      </w:r>
    </w:p>
    <w:p>
      <w:pPr>
        <w:pStyle w:val="ListBullet"/>
      </w:pPr>
      <w:r>
        <w:t>Alignment that the recovery motion runs as a gated four-stage sequence with no dates attached</w:t>
      </w:r>
    </w:p>
    <w:p>
      <w:pPr>
        <w:pStyle w:val="ListBullet"/>
      </w:pPr>
      <w:r>
        <w:t>Agreement to retain the dedicated CSM and solution architect (€96K) under Path B to run the rebuild</w:t>
      </w:r>
    </w:p>
    <w:p>
      <w:pPr>
        <w:pStyle w:val="ListBullet"/>
      </w:pPr>
      <w:r>
        <w:t>Sign-off on the three-year scenario: 8,900 → 11,500 active seats and ~30 of 144 stores brought live</w:t>
      </w:r>
    </w:p>
    <w:p>
      <w:pPr>
        <w:pStyle w:val="ListBullet"/>
      </w:pPr>
      <w:r>
        <w:t>Direction on how to answer the 20% discount ask when the scheduling lead raises it</w:t>
      </w:r>
    </w:p>
    <w:p>
      <w:r>
        <w:rPr>
          <w:b/>
        </w:rPr>
        <w:t>Nice to Have</w:t>
      </w:r>
    </w:p>
    <w:p>
      <w:pPr>
        <w:pStyle w:val="ListBullet"/>
      </w:pPr>
      <w:r>
        <w:t>Preliminary read on which two growth accounts would have received the dedicated team under Path C</w:t>
      </w:r>
    </w:p>
    <w:p>
      <w:pPr>
        <w:pStyle w:val="Heading1"/>
      </w:pPr>
      <w:r>
        <w:rPr>
          <w:rFonts w:ascii="Arial" w:hAnsi="Arial"/>
          <w:color w:val="1E1B3C"/>
        </w:rPr>
        <w:t>Snapshot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Fact</w:t>
            </w:r>
          </w:p>
        </w:tc>
      </w:tr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Falkstad Group — Nordic grocery chain, Lumen Rota's third-largest account</w:t>
            </w:r>
          </w:p>
        </w:tc>
      </w:tr>
      <w:tr>
        <w:tc>
          <w:tcPr>
            <w:tcW w:type="dxa" w:w="4320"/>
          </w:tcPr>
          <w:p>
            <w:r>
              <w:t>Current ACV</w:t>
            </w:r>
          </w:p>
        </w:tc>
        <w:tc>
          <w:tcPr>
            <w:tcW w:type="dxa" w:w="4320"/>
          </w:tcPr>
          <w:p>
            <w:r>
              <w:t>€840,000 a year (down from €890,000 at prior renewal)</w:t>
            </w:r>
          </w:p>
        </w:tc>
      </w:tr>
      <w:tr>
        <w:tc>
          <w:tcPr>
            <w:tcW w:type="dxa" w:w="4320"/>
          </w:tcPr>
          <w:p>
            <w:r>
              <w:t>NRR</w:t>
            </w:r>
          </w:p>
        </w:tc>
        <w:tc>
          <w:tcPr>
            <w:tcW w:type="dxa" w:w="4320"/>
          </w:tcPr>
          <w:p>
            <w:r>
              <w:t>0.94x across the account (net contraction)</w:t>
            </w:r>
          </w:p>
        </w:tc>
      </w:tr>
      <w:tr>
        <w:tc>
          <w:tcPr>
            <w:tcW w:type="dxa" w:w="4320"/>
          </w:tcPr>
          <w:p>
            <w:r>
              <w:t>Licensed seats</w:t>
            </w:r>
          </w:p>
        </w:tc>
        <w:tc>
          <w:tcPr>
            <w:tcW w:type="dxa" w:w="4320"/>
          </w:tcPr>
          <w:p>
            <w:r>
              <w:t>14,200</w:t>
            </w:r>
          </w:p>
        </w:tc>
      </w:tr>
      <w:tr>
        <w:tc>
          <w:tcPr>
            <w:tcW w:type="dxa" w:w="4320"/>
          </w:tcPr>
          <w:p>
            <w:r>
              <w:t>Active seats (30d)</w:t>
            </w:r>
          </w:p>
        </w:tc>
        <w:tc>
          <w:tcPr>
            <w:tcW w:type="dxa" w:w="4320"/>
          </w:tcPr>
          <w:p>
            <w:r>
              <w:t>8,900 (62.7% activation)</w:t>
            </w:r>
          </w:p>
        </w:tc>
      </w:tr>
      <w:tr>
        <w:tc>
          <w:tcPr>
            <w:tcW w:type="dxa" w:w="4320"/>
          </w:tcPr>
          <w:p>
            <w:r>
              <w:t>Store footprint</w:t>
            </w:r>
          </w:p>
        </w:tc>
        <w:tc>
          <w:tcPr>
            <w:tcW w:type="dxa" w:w="4320"/>
          </w:tcPr>
          <w:p>
            <w:r>
              <w:t>268 of 412 stores deployed (144 stores never deployed)</w:t>
            </w:r>
          </w:p>
        </w:tc>
      </w:tr>
      <w:tr>
        <w:tc>
          <w:tcPr>
            <w:tcW w:type="dxa" w:w="4320"/>
          </w:tcPr>
          <w:p>
            <w:r>
              <w:t>Support tickets</w:t>
            </w:r>
          </w:p>
        </w:tc>
        <w:tc>
          <w:tcPr>
            <w:tcW w:type="dxa" w:w="4320"/>
          </w:tcPr>
          <w:p>
            <w:r>
              <w:t>1,340 in last 12 months; 61% from 11 late-wave stores</w:t>
            </w:r>
          </w:p>
        </w:tc>
      </w:tr>
      <w:tr>
        <w:tc>
          <w:tcPr>
            <w:tcW w:type="dxa" w:w="4320"/>
          </w:tcPr>
          <w:p>
            <w:r>
              <w:t>Gross margin</w:t>
            </w:r>
          </w:p>
        </w:tc>
        <w:tc>
          <w:tcPr>
            <w:tcW w:type="dxa" w:w="4320"/>
          </w:tcPr>
          <w:p>
            <w:r>
              <w:t>71% on the account</w:t>
            </w:r>
          </w:p>
        </w:tc>
      </w:tr>
      <w:tr>
        <w:tc>
          <w:tcPr>
            <w:tcW w:type="dxa" w:w="4320"/>
          </w:tcPr>
          <w:p>
            <w:r>
              <w:t>Cost to serve</w:t>
            </w:r>
          </w:p>
        </w:tc>
        <w:tc>
          <w:tcPr>
            <w:tcW w:type="dxa" w:w="4320"/>
          </w:tcPr>
          <w:p>
            <w:r>
              <w:t>€244,000 a year (includes €96,000 dedicated CSM + SA)</w:t>
            </w:r>
          </w:p>
        </w:tc>
      </w:tr>
      <w:tr>
        <w:tc>
          <w:tcPr>
            <w:tcW w:type="dxa" w:w="4320"/>
          </w:tcPr>
          <w:p>
            <w:r>
              <w:t>Self-serve comparable</w:t>
            </w:r>
          </w:p>
        </w:tc>
        <w:tc>
          <w:tcPr>
            <w:tcW w:type="dxa" w:w="4320"/>
          </w:tcPr>
          <w:p>
            <w:r>
              <w:t>€510,000 → €180,000 ACV; cost to serve fell to €31,000</w:t>
            </w:r>
          </w:p>
        </w:tc>
      </w:tr>
      <w:tr>
        <w:tc>
          <w:tcPr>
            <w:tcW w:type="dxa" w:w="4320"/>
          </w:tcPr>
          <w:p>
            <w:r>
              <w:t>Buyer ask</w:t>
            </w:r>
          </w:p>
        </w:tc>
        <w:tc>
          <w:tcPr>
            <w:tcW w:type="dxa" w:w="4320"/>
          </w:tcPr>
          <w:p>
            <w:r>
              <w:t>20% price reduction at renewal, citing parent-group framework agreement with competing vendor</w:t>
            </w:r>
          </w:p>
        </w:tc>
      </w:tr>
      <w:tr>
        <w:tc>
          <w:tcPr>
            <w:tcW w:type="dxa" w:w="4320"/>
          </w:tcPr>
          <w:p>
            <w:r>
              <w:t>CIO posture</w:t>
            </w:r>
          </w:p>
        </w:tc>
        <w:tc>
          <w:tcPr>
            <w:tcW w:type="dxa" w:w="4320"/>
          </w:tcPr>
          <w:p>
            <w:r>
              <w:t>Refuses any calendar commitment until activation diagnosis is agreed</w:t>
            </w:r>
          </w:p>
        </w:tc>
      </w:tr>
    </w:tbl>
    <w:p>
      <w:pPr>
        <w:pStyle w:val="Heading1"/>
      </w:pPr>
      <w:r>
        <w:rPr>
          <w:rFonts w:ascii="Arial" w:hAnsi="Arial"/>
          <w:color w:val="1E1B3C"/>
        </w:rPr>
        <w:t>Performance to date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Delivered</w:t>
            </w:r>
          </w:p>
        </w:tc>
        <w:tc>
          <w:tcPr>
            <w:tcW w:type="dxa" w:w="4320"/>
          </w:tcPr>
          <w:p>
            <w:r>
              <w:t>Unrealized</w:t>
            </w:r>
          </w:p>
        </w:tc>
      </w:tr>
      <w:tr>
        <w:tc>
          <w:tcPr>
            <w:tcW w:type="dxa" w:w="4320"/>
          </w:tcPr>
          <w:p>
            <w:r>
              <w:t>Deployed in 268 of 412 stores across the estate</w:t>
            </w:r>
          </w:p>
        </w:tc>
        <w:tc>
          <w:tcPr>
            <w:tcW w:type="dxa" w:w="4320"/>
          </w:tcPr>
          <w:p>
            <w:r>
              <w:t>37.3% of licensed seats sit unused — 5,300 seats licensed but not active in the last 30 days</w:t>
            </w:r>
          </w:p>
        </w:tc>
      </w:tr>
      <w:tr>
        <w:tc>
          <w:tcPr>
            <w:tcW w:type="dxa" w:w="4320"/>
          </w:tcPr>
          <w:p>
            <w:r>
              <w:t>Licensed seat base built to 14,200 across the deployed footprint</w:t>
            </w:r>
          </w:p>
        </w:tc>
        <w:tc>
          <w:tcPr>
            <w:tcW w:type="dxa" w:w="4320"/>
          </w:tcPr>
          <w:p>
            <w:r>
              <w:t>144 stores never deployed — no Lumen Rota footprint at all in 35% of Falkstad's estate</w:t>
            </w:r>
          </w:p>
        </w:tc>
      </w:tr>
      <w:tr>
        <w:tc>
          <w:tcPr>
            <w:tcW w:type="dxa" w:w="4320"/>
          </w:tcPr>
          <w:p>
            <w:r>
              <w:t>Dedicated CSM and solution architect embedded on the account (€96K of the €244K cost to serve)</w:t>
            </w:r>
          </w:p>
        </w:tc>
        <w:tc>
          <w:tcPr>
            <w:tcW w:type="dxa" w:w="4320"/>
          </w:tcPr>
          <w:p>
            <w:r>
              <w:t>11 late-wave stores generating 818 of 1,340 tickets — a concentrated onboarding failure that has not been fixed</w:t>
            </w:r>
          </w:p>
        </w:tc>
      </w:tr>
      <w:tr>
        <w:tc>
          <w:tcPr>
            <w:tcW w:type="dxa" w:w="4320"/>
          </w:tcPr>
          <w:p>
            <w:r>
              <w:t>Honest read: the last deployment wave underperformed — 11 stores are generating 61% of the 1,340 tickets, and the account has already stepped down from €890K to €840K</w:t>
            </w:r>
          </w:p>
        </w:tc>
        <w:tc>
          <w:tcPr>
            <w:tcW w:type="dxa" w:w="4320"/>
          </w:tcPr>
          <w:p>
            <w:r>
              <w:t>Parent-group framework agreement with a competing vendor sits unaddressed at every renewal cycle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>
            <w:r>
              <w:t>No joint success plan on the account — the CIO is blocking any calendar until diagnosis is agreed</w:t>
            </w:r>
          </w:p>
        </w:tc>
      </w:tr>
    </w:tbl>
    <w:p>
      <w:pPr>
        <w:pStyle w:val="Heading1"/>
      </w:pPr>
      <w:r>
        <w:rPr>
          <w:rFonts w:ascii="Arial" w:hAnsi="Arial"/>
          <w:color w:val="1E1B3C"/>
        </w:rPr>
        <w:t>Headline numbers</w:t>
      </w:r>
    </w:p>
    <w:p>
      <w:pPr>
        <w:pStyle w:val="ListBullet"/>
      </w:pPr>
      <w:r>
        <w:rPr>
          <w:b/>
        </w:rPr>
        <w:t>€560K</w:t>
      </w:r>
      <w:r>
        <w:t xml:space="preserve"> — Path B Year 1</w:t>
      </w:r>
    </w:p>
    <w:p>
      <w:r>
        <w:t>Consumption price at today's 8,900 active seats — the reset.</w:t>
      </w:r>
    </w:p>
    <w:p>
      <w:r>
        <w:rPr>
          <w:i/>
        </w:rPr>
        <w:t>(Year 1, today's activity, no lift booked)</w:t>
      </w:r>
    </w:p>
    <w:p>
      <w:pPr>
        <w:pStyle w:val="ListBullet"/>
      </w:pPr>
      <w:r>
        <w:rPr>
          <w:b/>
        </w:rPr>
        <w:t>€723K</w:t>
      </w:r>
      <w:r>
        <w:t xml:space="preserve"> — Path B Year 3</w:t>
      </w:r>
    </w:p>
    <w:p>
      <w:r>
        <w:t>Same rate applied to 11,500 active seats after recovery and partial 144-store rollout.</w:t>
      </w:r>
    </w:p>
    <w:p>
      <w:r>
        <w:rPr>
          <w:i/>
        </w:rPr>
        <w:t>(Year 3, ~30 of 144 stores brought live)</w:t>
      </w:r>
    </w:p>
    <w:p>
      <w:pPr>
        <w:pStyle w:val="ListBullet"/>
      </w:pPr>
      <w:r>
        <w:rPr>
          <w:b/>
        </w:rPr>
        <w:t>€280K</w:t>
      </w:r>
      <w:r>
        <w:t xml:space="preserve"> — Year 1 reset amount</w:t>
      </w:r>
    </w:p>
    <w:p>
      <w:r>
        <w:t>€840K current ACV minus Path B Year 1 — the price of aligning to real usage.</w:t>
      </w:r>
    </w:p>
    <w:p>
      <w:pPr>
        <w:pStyle w:val="ListBullet"/>
      </w:pPr>
      <w:r>
        <w:rPr>
          <w:b/>
        </w:rPr>
        <w:t>€297K</w:t>
      </w:r>
      <w:r>
        <w:t xml:space="preserve"> — Path C proxy value</w:t>
      </w:r>
    </w:p>
    <w:p>
      <w:r>
        <w:t>Directional: applies the comparable's 35% retention ratio to Falkstad's €840K.</w:t>
      </w:r>
    </w:p>
    <w:p>
      <w:pPr>
        <w:pStyle w:val="Heading1"/>
      </w:pPr>
      <w:r>
        <w:rPr>
          <w:rFonts w:ascii="Arial" w:hAnsi="Arial"/>
          <w:color w:val="1E1B3C"/>
        </w:rPr>
        <w:t>Asks &amp; concessions</w:t>
      </w:r>
    </w:p>
    <w:p>
      <w:r>
        <w:rPr>
          <w:b/>
        </w:rPr>
        <w:t>Must have</w:t>
      </w:r>
    </w:p>
    <w:p>
      <w:pPr>
        <w:pStyle w:val="ListBullet"/>
      </w:pPr>
      <w:r>
        <w:t>Restructure Falkstad to per-active-seat consumption pricing, replacing the licensed-seat basis; Year 1 lands at €560K</w:t>
      </w:r>
    </w:p>
    <w:p>
      <w:pPr>
        <w:pStyle w:val="ListBullet"/>
      </w:pPr>
      <w:r>
        <w:t>Rule out Path A (flat renewal) and Path C (self-serve migration) on substance, not by ranking</w:t>
      </w:r>
    </w:p>
    <w:p>
      <w:r>
        <w:rPr>
          <w:b/>
        </w:rPr>
        <w:t>Should have</w:t>
      </w:r>
    </w:p>
    <w:p>
      <w:pPr>
        <w:pStyle w:val="ListBullet"/>
      </w:pPr>
      <w:r>
        <w:t>Retain the dedicated CSM and solution architect (€96K) on the account to run the rebuild motion</w:t>
      </w:r>
    </w:p>
    <w:p>
      <w:pPr>
        <w:pStyle w:val="ListBullet"/>
      </w:pPr>
      <w:r>
        <w:t>Run the recovery as a gated four-stage sequence with exit criteria, no dates attached</w:t>
      </w:r>
    </w:p>
    <w:p>
      <w:pPr>
        <w:pStyle w:val="ListBullet"/>
      </w:pPr>
      <w:r>
        <w:t>Commit to a scenario of 8,900 → 11,500 active seats and ~30 of 144 stores brought live by Year 3</w:t>
      </w:r>
    </w:p>
    <w:p>
      <w:r>
        <w:rPr>
          <w:b/>
        </w:rPr>
        <w:t>Nice to have</w:t>
      </w:r>
    </w:p>
    <w:p>
      <w:pPr>
        <w:pStyle w:val="ListBullet"/>
      </w:pPr>
      <w:r>
        <w:t>Frame the 20% discount ask as answered by the pricing-basis change, not by a like-for-like cut</w:t>
      </w:r>
    </w:p>
    <w:p>
      <w:r>
        <w:rPr>
          <w:b/>
        </w:rPr>
        <w:t>Concessions</w:t>
      </w:r>
    </w:p>
    <w:p>
      <w:pPr>
        <w:pStyle w:val="ListBullet"/>
      </w:pPr>
      <w:r>
        <w:t>Accept a €280K Year-1 reset from €840K to €560K in exchange for shifting the contract basis to per-active-seat consumption and locking in expansion mechanics tied to activation.</w:t>
      </w:r>
    </w:p>
    <w:p>
      <w:pPr>
        <w:pStyle w:val="ListBullet"/>
      </w:pPr>
      <w:r>
        <w:t>Hold the €96K dedicated CSM and SA on the account (rather than redeploying under Path C) in exchange for Falkstad's engagement in the four-stage gated recovery motion.</w:t>
      </w:r>
    </w:p>
    <w:p>
      <w:pPr>
        <w:pStyle w:val="ListBullet"/>
      </w:pPr>
      <w:r>
        <w:t>Defer any calendar commitment until the CIO signs off on the activation diagnosis, in exchange for movement into the re-baseline stage on an agreed exit criterion rather than a date.</w:t>
      </w:r>
    </w:p>
    <w:p>
      <w:pPr>
        <w:pStyle w:val="Heading1"/>
      </w:pPr>
      <w:r>
        <w:rPr>
          <w:rFonts w:ascii="Arial" w:hAnsi="Arial"/>
          <w:color w:val="1E1B3C"/>
        </w:rPr>
        <w:t>Anticipated questions</w:t>
      </w:r>
    </w:p>
    <w:p>
      <w:pPr>
        <w:pStyle w:val="Heading2"/>
      </w:pPr>
      <w:r>
        <w:rPr>
          <w:rFonts w:ascii="Arial" w:hAnsi="Arial"/>
          <w:color w:val="1E1B3C"/>
        </w:rPr>
        <w:t>Why not just meet the 20% discount ask on the current pricing basis and keep the €840K structure intact?</w:t>
      </w:r>
    </w:p>
    <w:p>
      <w:r>
        <w:t>A straight 20% cut gives up roughly €168K without changing the underlying activation problem — 5,300 seats stay unused and the 11 problem stores stay unfixed. Restructuring to per-active-seat pricing takes a €280K reset that is €112K larger, but it aligns price with usage and creates a mechanical path back through activation recovery and the 144 undeployed stores. Path B ends Year 3 at €723K in the recovery scenario; a 20% flat cut ends Year 3 at €672K with no rebuild lever.</w:t>
      </w:r>
    </w:p>
    <w:p>
      <w:pPr>
        <w:pStyle w:val="Heading2"/>
      </w:pPr>
      <w:r>
        <w:rPr>
          <w:rFonts w:ascii="Arial" w:hAnsi="Arial"/>
          <w:color w:val="1E1B3C"/>
        </w:rPr>
        <w:t>How does Path B actually rule out Path A rather than just being ranked ahead of it?</w:t>
      </w:r>
    </w:p>
    <w:p>
      <w:r>
        <w:t>Path A holds €840K in Year 1 but leaves two problems live: the 62.7% activation rate and the parent-group framework agreement with the competing vendor. Both re-detonate at the next renewal cycle. Path B accepts the €280K reset today because it converts the churn threat into a growth lever — once price follows active seats, the framework vendor stops being an escape hatch and becomes a comparison Lumen Rota can win by driving usage. The rule-out is structural: Path A cannot solve what Path B is designed for.</w:t>
      </w:r>
    </w:p>
    <w:p>
      <w:pPr>
        <w:pStyle w:val="Heading2"/>
      </w:pPr>
      <w:r>
        <w:rPr>
          <w:rFonts w:ascii="Arial" w:hAnsi="Arial"/>
          <w:color w:val="1E1B3C"/>
        </w:rPr>
        <w:t>The Path C rule-out leans on a single comparable account. How defensible is that?</w:t>
      </w:r>
    </w:p>
    <w:p>
      <w:r>
        <w:t>The comparable is directional, not definitive — we've flagged it that way in the deck. But the ratio is stark enough that it survives scaling uncertainty: €180K on €510K is a 64.7% concession, and applying it to Falkstad's €840K yields a €297K proxy. Even if Falkstad's larger size means the true self-serve landing is 20% higher than the proxy, Path C still concedes more value than Path B's reset and forfeits the 144-store upside entirely.</w:t>
      </w:r>
    </w:p>
    <w:p>
      <w:pPr>
        <w:pStyle w:val="Heading2"/>
      </w:pPr>
      <w:r>
        <w:rPr>
          <w:rFonts w:ascii="Arial" w:hAnsi="Arial"/>
          <w:color w:val="1E1B3C"/>
        </w:rPr>
        <w:t>The Year 3 gap between Path B and Path A is still negative — €117K short of flat renewal. Why is that a win?</w:t>
      </w:r>
    </w:p>
    <w:p>
      <w:r>
        <w:t>The three-year cumulative gap is €596K in Path A's favor if flat renewal actually holds. It doesn't — the framework vendor threat is unpriced in Path A, and the account has already contracted from €890K to €840K on its own. Path B closes the annual gap from €280K in Year 1 to €117K in Year 3 while removing the churn threat. The trajectory matters more than the endpoint: the rebuild is in motion by Year 3 and continues past the model horizon as more of the 144 stores come live.</w:t>
      </w:r>
    </w:p>
    <w:p>
      <w:pPr>
        <w:pStyle w:val="Heading2"/>
      </w:pPr>
      <w:r>
        <w:rPr>
          <w:rFonts w:ascii="Arial" w:hAnsi="Arial"/>
          <w:color w:val="1E1B3C"/>
        </w:rPr>
        <w:t>How do you defend running the recovery motion without any dates when the panel expects a plan?</w:t>
      </w:r>
    </w:p>
    <w:p>
      <w:r>
        <w:t>The CIO has refused calendar commitments until the activation diagnosis is agreed — that's the case fact, not a choice we're making. What we can commit to is the shape: four gated stages, each with a defined exit criterion. Stage 1 (diagnose) exits on an agreed root-cause read with the CIO; Stage 2 (re-baseline) exits when licensed seats are reset to reflect 8,900 active; Stage 3 (re-onboard) exits when the 11 problem stores' ticket volume returns to estate average; Stage 4 (re-commit) exits on a signed joint success plan naming activation and 144-store milestones. The sequence is disciplined; the timing is what the CIO gives us.</w:t>
      </w:r>
    </w:p>
    <w:p>
      <w:pPr>
        <w:pStyle w:val="Heading2"/>
      </w:pPr>
      <w:r>
        <w:rPr>
          <w:rFonts w:ascii="Arial" w:hAnsi="Arial"/>
          <w:color w:val="1E1B3C"/>
        </w:rPr>
        <w:t>What if activation doesn't recover — is the model still defensible if we stay near 8,900 seats?</w:t>
      </w:r>
    </w:p>
    <w:p>
      <w:r>
        <w:t>If activation stays flat, Path B holds at €560K for all three years and the cumulative gap versus Path A widens to about €840K over three years. That's still the recommended path over Path A, because flat activation would also trigger the framework-vendor churn threat under Path A — Lumen Rota loses the account entirely rather than losing €280K a year on a live contract. The gated recovery is designed to catch a flat-activation outcome early: Stage 1's diagnosis is where we find out, and if activation truly cannot recover, the panel gets an earlier and better-informed decision on whether to move toward Path 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