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1E2933"/>
        </w:rPr>
        <w:t>Halden Fulfilment Network Operations Funding Review</w:t>
      </w:r>
    </w:p>
    <w:p>
      <w:r>
        <w:rPr>
          <w:i/>
        </w:rPr>
        <w:t>September 2026 · Operational Improvement · C Suite Roleplay</w:t>
      </w:r>
    </w:p>
    <w:p>
      <w:pPr>
        <w:pStyle w:val="Heading1"/>
      </w:pPr>
      <w:r>
        <w:rPr>
          <w:rFonts w:ascii="Arial" w:hAnsi="Arial"/>
          <w:color w:val="1E2933"/>
        </w:rPr>
        <w:t>Theory of the deal</w:t>
      </w:r>
    </w:p>
    <w:p>
      <w:r>
        <w:t>Margin has compressed for five straight quarters while volume has grown 18%. The 2025 peak pick cost broke to $0.68 — 9¢ worse than 2024 — and sits 24¢ above the $0.44 no-capex floor. Our recommendation is a five-initiative bundle worth $12.9M annually: four low- and medium-effort quick wins plus the WMS upgrade at Reading and Tracy, the two sites driving the peak break. We defer $9.2M of impact from three High-effort builds and one hygiene item, in exchange for faster payback and lower execution risk before next peak.</w:t>
      </w:r>
    </w:p>
    <w:p>
      <w:pPr>
        <w:pStyle w:val="Heading1"/>
      </w:pPr>
      <w:r>
        <w:rPr>
          <w:rFonts w:ascii="Arial" w:hAnsi="Arial"/>
          <w:color w:val="1E2933"/>
        </w:rPr>
        <w:t>Meeting overview</w:t>
      </w:r>
    </w:p>
    <w:p>
      <w:r>
        <w:rPr>
          <w:b/>
        </w:rPr>
        <w:t xml:space="preserve">Purpose: </w:t>
      </w:r>
      <w:r>
        <w:t>Secure COO approval for the five-initiative funding bundle and confirm deferral of the four remaining initiatives ahead of the next peak season.</w:t>
      </w:r>
    </w:p>
    <w:p>
      <w:r>
        <w:rPr>
          <w:b/>
        </w:rPr>
        <w:t>Attendees</w:t>
      </w:r>
    </w:p>
    <w:tbl>
      <w:tblPr>
        <w:tblStyle w:val="LightGrid-Accent1"/>
        <w:tblW w:type="auto" w:w="0"/>
        <w:tblLook w:firstColumn="1" w:firstRow="1" w:lastColumn="0" w:lastRow="0" w:noHBand="0" w:noVBand="1" w:val="04A0"/>
      </w:tblPr>
      <w:tblGrid>
        <w:gridCol w:w="4320"/>
        <w:gridCol w:w="4320"/>
      </w:tblGrid>
      <w:tr>
        <w:tc>
          <w:tcPr>
            <w:tcW w:type="dxa" w:w="4320"/>
          </w:tcPr>
          <w:p>
            <w:r>
              <w:rPr>
                <w:b/>
              </w:rPr>
              <w:t>Our side</w:t>
            </w:r>
          </w:p>
        </w:tc>
        <w:tc>
          <w:tcPr>
            <w:tcW w:type="dxa" w:w="4320"/>
          </w:tcPr>
          <w:p>
            <w:r>
              <w:rPr>
                <w:b/>
              </w:rPr>
              <w:t>Their side</w:t>
            </w:r>
          </w:p>
        </w:tc>
      </w:tr>
      <w:tr>
        <w:tc>
          <w:tcPr>
            <w:tcW w:type="dxa" w:w="4320"/>
          </w:tcPr>
          <w:p>
            <w:r>
              <w:t>Operations Strategy Lead</w:t>
            </w:r>
          </w:p>
        </w:tc>
        <w:tc>
          <w:tcPr>
            <w:tcW w:type="dxa" w:w="4320"/>
          </w:tcPr>
          <w:p>
            <w:r>
              <w:t>COO, Halden Fulfilment</w:t>
            </w:r>
          </w:p>
        </w:tc>
      </w:tr>
    </w:tbl>
    <w:p>
      <w:r>
        <w:rPr>
          <w:b/>
        </w:rPr>
        <w:t>Desired outcomes</w:t>
      </w:r>
    </w:p>
    <w:p>
      <w:r>
        <w:rPr>
          <w:b/>
        </w:rPr>
        <w:t>Must Have</w:t>
      </w:r>
    </w:p>
    <w:p>
      <w:pPr>
        <w:pStyle w:val="ListBullet"/>
      </w:pPr>
      <w:r>
        <w:t>Approval to fund the five-initiative bundle ($12.9M annual impact)</w:t>
      </w:r>
    </w:p>
    <w:p>
      <w:pPr>
        <w:pStyle w:val="ListBullet"/>
      </w:pPr>
      <w:r>
        <w:t>Green-light the WMS upgrade at Reading and Tracy as the one High-effort bet ($4.1M)</w:t>
      </w:r>
    </w:p>
    <w:p>
      <w:r>
        <w:rPr>
          <w:b/>
        </w:rPr>
        <w:t>Should Have</w:t>
      </w:r>
    </w:p>
    <w:p>
      <w:pPr>
        <w:pStyle w:val="ListBullet"/>
      </w:pPr>
      <w:r>
        <w:t>Confirm deferral of cross-dock at Lehigh, automated putaway at Columbus, temp-labour pooling, and inbound ASN</w:t>
      </w:r>
    </w:p>
    <w:p>
      <w:pPr>
        <w:pStyle w:val="ListBullet"/>
      </w:pPr>
      <w:r>
        <w:t>Agree flex shift model is deployed before October peak</w:t>
      </w:r>
    </w:p>
    <w:p>
      <w:pPr>
        <w:pStyle w:val="ListBullet"/>
      </w:pPr>
      <w:r>
        <w:t>Align on 14¢ pick-cost recovery as the programme's success metric</w:t>
      </w:r>
    </w:p>
    <w:p>
      <w:r>
        <w:rPr>
          <w:b/>
        </w:rPr>
        <w:t>Nice to Have</w:t>
      </w:r>
    </w:p>
    <w:p>
      <w:pPr>
        <w:pStyle w:val="ListBullet"/>
      </w:pPr>
      <w:r>
        <w:t>Set a review date after WMS payback to reopen the deferred set</w:t>
      </w:r>
    </w:p>
    <w:p>
      <w:pPr>
        <w:pStyle w:val="Heading1"/>
      </w:pPr>
      <w:r>
        <w:rPr>
          <w:rFonts w:ascii="Arial" w:hAnsi="Arial"/>
          <w:color w:val="1E2933"/>
        </w:rPr>
        <w:t>Snapshot</w:t>
      </w:r>
    </w:p>
    <w:tbl>
      <w:tblPr>
        <w:tblStyle w:val="LightGrid-Accent1"/>
        <w:tblW w:type="auto" w:w="0"/>
        <w:tblLook w:firstColumn="1" w:firstRow="1" w:lastColumn="0" w:lastRow="0" w:noHBand="0" w:noVBand="1" w:val="04A0"/>
      </w:tblPr>
      <w:tblGrid>
        <w:gridCol w:w="4320"/>
        <w:gridCol w:w="4320"/>
      </w:tblGrid>
      <w:tr>
        <w:tc>
          <w:tcPr>
            <w:tcW w:type="dxa" w:w="4320"/>
          </w:tcPr>
          <w:p>
            <w:r>
              <w:t>Item</w:t>
            </w:r>
          </w:p>
        </w:tc>
        <w:tc>
          <w:tcPr>
            <w:tcW w:type="dxa" w:w="4320"/>
          </w:tcPr>
          <w:p>
            <w:r>
              <w:t>Fact</w:t>
            </w:r>
          </w:p>
        </w:tc>
      </w:tr>
      <w:tr>
        <w:tc>
          <w:tcPr>
            <w:tcW w:type="dxa" w:w="4320"/>
          </w:tcPr>
          <w:p>
            <w:r>
              <w:t>Network scope</w:t>
            </w:r>
          </w:p>
        </w:tc>
        <w:tc>
          <w:tcPr>
            <w:tcW w:type="dxa" w:w="4320"/>
          </w:tcPr>
          <w:p>
            <w:r>
              <w:t>Six third-party fulfilment centres serving mid-market e-commerce brands</w:t>
            </w:r>
          </w:p>
        </w:tc>
      </w:tr>
      <w:tr>
        <w:tc>
          <w:tcPr>
            <w:tcW w:type="dxa" w:w="4320"/>
          </w:tcPr>
          <w:p>
            <w:r>
              <w:t>2025 throughput</w:t>
            </w:r>
          </w:p>
        </w:tc>
        <w:tc>
          <w:tcPr>
            <w:tcW w:type="dxa" w:w="4320"/>
          </w:tcPr>
          <w:p>
            <w:r>
              <w:t>41M units, up 18% on 2024</w:t>
            </w:r>
          </w:p>
        </w:tc>
      </w:tr>
      <w:tr>
        <w:tc>
          <w:tcPr>
            <w:tcW w:type="dxa" w:w="4320"/>
          </w:tcPr>
          <w:p>
            <w:r>
              <w:t>Contribution margin</w:t>
            </w:r>
          </w:p>
        </w:tc>
        <w:tc>
          <w:tcPr>
            <w:tcW w:type="dxa" w:w="4320"/>
          </w:tcPr>
          <w:p>
            <w:r>
              <w:t>11.2%, compressed five straight quarters</w:t>
            </w:r>
          </w:p>
        </w:tc>
      </w:tr>
      <w:tr>
        <w:tc>
          <w:tcPr>
            <w:tcW w:type="dxa" w:w="4320"/>
          </w:tcPr>
          <w:p>
            <w:r>
              <w:t>Cent-to-dollar bridge</w:t>
            </w:r>
          </w:p>
        </w:tc>
        <w:tc>
          <w:tcPr>
            <w:tcW w:type="dxa" w:w="4320"/>
          </w:tcPr>
          <w:p>
            <w:r>
              <w:t>$410K per cent off blended pick cost at current volume</w:t>
            </w:r>
          </w:p>
        </w:tc>
      </w:tr>
      <w:tr>
        <w:tc>
          <w:tcPr>
            <w:tcW w:type="dxa" w:w="4320"/>
          </w:tcPr>
          <w:p>
            <w:r>
              <w:t>November 2025 peak</w:t>
            </w:r>
          </w:p>
        </w:tc>
        <w:tc>
          <w:tcPr>
            <w:tcW w:type="dxa" w:w="4320"/>
          </w:tcPr>
          <w:p>
            <w:r>
              <w:t>$0.68 blended pick cost — highest month in series</w:t>
            </w:r>
          </w:p>
        </w:tc>
      </w:tr>
      <w:tr>
        <w:tc>
          <w:tcPr>
            <w:tcW w:type="dxa" w:w="4320"/>
          </w:tcPr>
          <w:p>
            <w:r>
              <w:t>2024 peak reference</w:t>
            </w:r>
          </w:p>
        </w:tc>
        <w:tc>
          <w:tcPr>
            <w:tcW w:type="dxa" w:w="4320"/>
          </w:tcPr>
          <w:p>
            <w:r>
              <w:t>$0.59 — 2025 peak broke 9¢ worse</w:t>
            </w:r>
          </w:p>
        </w:tc>
      </w:tr>
      <w:tr>
        <w:tc>
          <w:tcPr>
            <w:tcW w:type="dxa" w:w="4320"/>
          </w:tcPr>
          <w:p>
            <w:r>
              <w:t>No-capex floor</w:t>
            </w:r>
          </w:p>
        </w:tc>
        <w:tc>
          <w:tcPr>
            <w:tcW w:type="dxa" w:w="4320"/>
          </w:tcPr>
          <w:p>
            <w:r>
              <w:t>$0.44 — recoverable gap of 24¢ from November peak</w:t>
            </w:r>
          </w:p>
        </w:tc>
      </w:tr>
      <w:tr>
        <w:tc>
          <w:tcPr>
            <w:tcW w:type="dxa" w:w="4320"/>
          </w:tcPr>
          <w:p>
            <w:r>
              <w:t>Off-peak trough</w:t>
            </w:r>
          </w:p>
        </w:tc>
        <w:tc>
          <w:tcPr>
            <w:tcW w:type="dxa" w:w="4320"/>
          </w:tcPr>
          <w:p>
            <w:r>
              <w:t>$0.47 in June; off-peak averages near $0.48</w:t>
            </w:r>
          </w:p>
        </w:tc>
      </w:tr>
      <w:tr>
        <w:tc>
          <w:tcPr>
            <w:tcW w:type="dxa" w:w="4320"/>
          </w:tcPr>
          <w:p>
            <w:r>
              <w:t>Weakest sites</w:t>
            </w:r>
          </w:p>
        </w:tc>
        <w:tc>
          <w:tcPr>
            <w:tcW w:type="dxa" w:w="4320"/>
          </w:tcPr>
          <w:p>
            <w:r>
              <w:t>Reading and Tracy, both on oldest WMS (other four sites migrated to current platform in 2023)</w:t>
            </w:r>
          </w:p>
        </w:tc>
      </w:tr>
      <w:tr>
        <w:tc>
          <w:tcPr>
            <w:tcW w:type="dxa" w:w="4320"/>
          </w:tcPr>
          <w:p>
            <w:r>
              <w:t>Strongest site</w:t>
            </w:r>
          </w:p>
        </w:tc>
        <w:tc>
          <w:tcPr>
            <w:tcW w:type="dxa" w:w="4320"/>
          </w:tcPr>
          <w:p>
            <w:r>
              <w:t>Lehigh — Leading on inbound accuracy and pick productivity</w:t>
            </w:r>
          </w:p>
        </w:tc>
      </w:tr>
      <w:tr>
        <w:tc>
          <w:tcPr>
            <w:tcW w:type="dxa" w:w="4320"/>
          </w:tcPr>
          <w:p>
            <w:r>
              <w:t>Temp labour at peak</w:t>
            </w:r>
          </w:p>
        </w:tc>
        <w:tc>
          <w:tcPr>
            <w:tcW w:type="dxa" w:w="4320"/>
          </w:tcPr>
          <w:p>
            <w:r>
              <w:t>34% of direct hours, versus 19% off-peak</w:t>
            </w:r>
          </w:p>
        </w:tc>
      </w:tr>
      <w:tr>
        <w:tc>
          <w:tcPr>
            <w:tcW w:type="dxa" w:w="4320"/>
          </w:tcPr>
          <w:p>
            <w:r>
              <w:t>Systems maturity</w:t>
            </w:r>
          </w:p>
        </w:tc>
        <w:tc>
          <w:tcPr>
            <w:tcW w:type="dxa" w:w="4320"/>
          </w:tcPr>
          <w:p>
            <w:r>
              <w:t>Weakest column in grid — five of six sites at Developing</w:t>
            </w:r>
          </w:p>
        </w:tc>
      </w:tr>
      <w:tr>
        <w:tc>
          <w:tcPr>
            <w:tcW w:type="dxa" w:w="4320"/>
          </w:tcPr>
          <w:p>
            <w:r>
              <w:t>Initiatives on table</w:t>
            </w:r>
          </w:p>
        </w:tc>
        <w:tc>
          <w:tcPr>
            <w:tcW w:type="dxa" w:w="4320"/>
          </w:tcPr>
          <w:p>
            <w:r>
              <w:t>Nine, ranging $0.8M to $4.1M annual impact, effort Low/Medium/High</w:t>
            </w:r>
          </w:p>
        </w:tc>
      </w:tr>
    </w:tbl>
    <w:p>
      <w:pPr>
        <w:pStyle w:val="Heading1"/>
      </w:pPr>
      <w:r>
        <w:rPr>
          <w:rFonts w:ascii="Arial" w:hAnsi="Arial"/>
          <w:color w:val="1E2933"/>
        </w:rPr>
        <w:t>Performance to date</w:t>
      </w:r>
    </w:p>
    <w:tbl>
      <w:tblPr>
        <w:tblStyle w:val="LightGrid-Accent1"/>
        <w:tblW w:type="auto" w:w="0"/>
        <w:tblLook w:firstColumn="1" w:firstRow="1" w:lastColumn="0" w:lastRow="0" w:noHBand="0" w:noVBand="1" w:val="04A0"/>
      </w:tblPr>
      <w:tblGrid>
        <w:gridCol w:w="4320"/>
        <w:gridCol w:w="4320"/>
      </w:tblGrid>
      <w:tr>
        <w:tc>
          <w:tcPr>
            <w:tcW w:type="dxa" w:w="4320"/>
          </w:tcPr>
          <w:p>
            <w:r>
              <w:t>Working</w:t>
            </w:r>
          </w:p>
        </w:tc>
        <w:tc>
          <w:tcPr>
            <w:tcW w:type="dxa" w:w="4320"/>
          </w:tcPr>
          <w:p>
            <w:r>
              <w:t>Broken</w:t>
            </w:r>
          </w:p>
        </w:tc>
      </w:tr>
      <w:tr>
        <w:tc>
          <w:tcPr>
            <w:tcW w:type="dxa" w:w="4320"/>
          </w:tcPr>
          <w:p>
            <w:r>
              <w:t>Volume grew 18% year-on-year to 41M units — throughput capacity is intact</w:t>
            </w:r>
          </w:p>
        </w:tc>
        <w:tc>
          <w:tcPr>
            <w:tcW w:type="dxa" w:w="4320"/>
          </w:tcPr>
          <w:p>
            <w:r>
              <w:t>November peak broke to $0.68 — 9¢ worse than 2024's $0.59 ceiling</w:t>
            </w:r>
          </w:p>
        </w:tc>
      </w:tr>
      <w:tr>
        <w:tc>
          <w:tcPr>
            <w:tcW w:type="dxa" w:w="4320"/>
          </w:tcPr>
          <w:p>
            <w:r>
              <w:t>Off-peak pick cost held near $0.48, close to seasonal baseline</w:t>
            </w:r>
          </w:p>
        </w:tc>
        <w:tc>
          <w:tcPr>
            <w:tcW w:type="dxa" w:w="4320"/>
          </w:tcPr>
          <w:p>
            <w:r>
              <w:t>Reading and Tracy remain on the oldest WMS and score Developing on three of four capabilities each</w:t>
            </w:r>
          </w:p>
        </w:tc>
      </w:tr>
      <w:tr>
        <w:tc>
          <w:tcPr>
            <w:tcW w:type="dxa" w:w="4320"/>
          </w:tcPr>
          <w:p>
            <w:r>
              <w:t>Four of six sites migrated to the current WMS platform in 2023</w:t>
            </w:r>
          </w:p>
        </w:tc>
        <w:tc>
          <w:tcPr>
            <w:tcW w:type="dxa" w:w="4320"/>
          </w:tcPr>
          <w:p>
            <w:r>
              <w:t>Temp labour ran 34% of direct hours at peak versus 19% off-peak — a 15-point labour-flexibility gap</w:t>
            </w:r>
          </w:p>
        </w:tc>
      </w:tr>
      <w:tr>
        <w:tc>
          <w:tcPr>
            <w:tcW w:type="dxa" w:w="4320"/>
          </w:tcPr>
          <w:p>
            <w:r>
              <w:t>Lehigh scores Leading on both inbound accuracy and pick productivity — proof the network can operate at par</w:t>
            </w:r>
          </w:p>
        </w:tc>
        <w:tc>
          <w:tcPr>
            <w:tcW w:type="dxa" w:w="4320"/>
          </w:tcPr>
          <w:p>
            <w:r>
              <w:t>Systems maturity is the weakest capability column — five of six sites at Developing</w:t>
            </w:r>
          </w:p>
        </w:tc>
      </w:tr>
      <w:tr>
        <w:tc>
          <w:tcPr>
            <w:tcW w:type="dxa" w:w="4320"/>
          </w:tcPr>
          <w:p/>
        </w:tc>
        <w:tc>
          <w:tcPr>
            <w:tcW w:type="dxa" w:w="4320"/>
          </w:tcPr>
          <w:p>
            <w:r>
              <w:t>Recoverable gap between November peak ($0.68) and no-capex floor ($0.44) stands at 24¢</w:t>
            </w:r>
          </w:p>
        </w:tc>
      </w:tr>
    </w:tbl>
    <w:p>
      <w:pPr>
        <w:pStyle w:val="Heading1"/>
      </w:pPr>
      <w:r>
        <w:rPr>
          <w:rFonts w:ascii="Arial" w:hAnsi="Arial"/>
          <w:color w:val="1E2933"/>
        </w:rPr>
        <w:t>Headline numbers</w:t>
      </w:r>
    </w:p>
    <w:p>
      <w:pPr>
        <w:pStyle w:val="ListBullet"/>
      </w:pPr>
      <w:r>
        <w:rPr>
          <w:b/>
        </w:rPr>
        <w:t>$12.9M</w:t>
      </w:r>
      <w:r>
        <w:t xml:space="preserve"> — Funded bundle annual impact</w:t>
      </w:r>
    </w:p>
    <w:p>
      <w:r>
        <w:t>Total annual margin from five initiatives — the ask being brought to the table.</w:t>
      </w:r>
    </w:p>
    <w:p>
      <w:r>
        <w:rPr>
          <w:i/>
        </w:rPr>
        <w:t>(five-initiative funded bundle, all live at scale)</w:t>
      </w:r>
    </w:p>
    <w:p>
      <w:pPr>
        <w:pStyle w:val="ListBullet"/>
      </w:pPr>
      <w:r>
        <w:rPr>
          <w:b/>
        </w:rPr>
        <w:t>$0.09</w:t>
      </w:r>
      <w:r>
        <w:t xml:space="preserve"> — 2025 vs 2024 peak deterioration</w:t>
      </w:r>
    </w:p>
    <w:p>
      <w:r>
        <w:t>November peak broke 9¢ worse than the 2024 ceiling — the deterioration to explain.</w:t>
      </w:r>
    </w:p>
    <w:p>
      <w:pPr>
        <w:pStyle w:val="ListBullet"/>
      </w:pPr>
      <w:r>
        <w:rPr>
          <w:b/>
        </w:rPr>
        <w:t>$9.2M</w:t>
      </w:r>
      <w:r>
        <w:t xml:space="preserve"> — Deferred annual impact</w:t>
      </w:r>
    </w:p>
    <w:p>
      <w:r>
        <w:t>Impact from the four deferred initiatives — the acknowledged cost of the funding choice.</w:t>
      </w:r>
    </w:p>
    <w:p>
      <w:pPr>
        <w:pStyle w:val="ListBullet"/>
      </w:pPr>
      <w:r>
        <w:rPr>
          <w:b/>
        </w:rPr>
        <w:t>$4.1M</w:t>
      </w:r>
      <w:r>
        <w:t xml:space="preserve"> — WMS upgrade impact</w:t>
      </w:r>
    </w:p>
    <w:p>
      <w:r>
        <w:t>The one High-effort bet in the bundle — addresses the two sites driving the peak break.</w:t>
      </w:r>
    </w:p>
    <w:p>
      <w:pPr>
        <w:pStyle w:val="Heading1"/>
      </w:pPr>
      <w:r>
        <w:rPr>
          <w:rFonts w:ascii="Arial" w:hAnsi="Arial"/>
          <w:color w:val="1E2933"/>
        </w:rPr>
        <w:t>Asks &amp; concessions</w:t>
      </w:r>
    </w:p>
    <w:p>
      <w:r>
        <w:rPr>
          <w:b/>
        </w:rPr>
        <w:t>Must have</w:t>
      </w:r>
    </w:p>
    <w:p>
      <w:pPr>
        <w:pStyle w:val="ListBullet"/>
      </w:pPr>
      <w:r>
        <w:t>Approve funding for the five-initiative bundle: slotting re-optimisation, pick-path algorithm upgrade, peak-season flex shift model, carton-size rationalisation, and WMS upgrade at Reading and Tracy</w:t>
      </w:r>
    </w:p>
    <w:p>
      <w:pPr>
        <w:pStyle w:val="ListBullet"/>
      </w:pPr>
      <w:r>
        <w:t>Green-light the WMS upgrade at Reading and Tracy ($4.1M impact) as the one High-effort bet worth funding this cycle</w:t>
      </w:r>
    </w:p>
    <w:p>
      <w:r>
        <w:rPr>
          <w:b/>
        </w:rPr>
        <w:t>Should have</w:t>
      </w:r>
    </w:p>
    <w:p>
      <w:pPr>
        <w:pStyle w:val="ListBullet"/>
      </w:pPr>
      <w:r>
        <w:t>Commit to deploying the peak-season flex shift model ($2.9M) before October to blunt the temp-labour ratio spike</w:t>
      </w:r>
    </w:p>
    <w:p>
      <w:pPr>
        <w:pStyle w:val="ListBullet"/>
      </w:pPr>
      <w:r>
        <w:t>Adopt 14¢ of pick-cost recovery as the programme's headline success metric</w:t>
      </w:r>
    </w:p>
    <w:p>
      <w:r>
        <w:rPr>
          <w:b/>
        </w:rPr>
        <w:t>Nice to have</w:t>
      </w:r>
    </w:p>
    <w:p>
      <w:pPr>
        <w:pStyle w:val="ListBullet"/>
      </w:pPr>
      <w:r>
        <w:t>Set a review checkpoint after WMS payback to reopen the deferred set (cross-dock at Lehigh, automated putaway at Columbus)</w:t>
      </w:r>
    </w:p>
    <w:p>
      <w:r>
        <w:rPr>
          <w:b/>
        </w:rPr>
        <w:t>Concessions</w:t>
      </w:r>
    </w:p>
    <w:p>
      <w:pPr>
        <w:pStyle w:val="ListBullet"/>
      </w:pPr>
      <w:r>
        <w:t>Cross-dock at Lehigh, automated putaway at Columbus, temp-labour pooling, and inbound ASN enforcement are deferred from this funding cycle — the two High-effort builds sequenced after WMS payback, the two smallest Low-effort items rolled into operational hygiene rather than counted as separate asks, in exchange for approval on the funded five.</w:t>
      </w:r>
    </w:p>
    <w:p>
      <w:pPr>
        <w:pStyle w:val="ListBullet"/>
      </w:pPr>
      <w:r>
        <w:t>Fold inbound ASN enforcement into the slotting and pick-path workstreams as operational hygiene, in exchange for keeping the funded ask list to five discrete items the COO can approve in one meeting.</w:t>
      </w:r>
    </w:p>
    <w:p>
      <w:pPr>
        <w:pStyle w:val="ListBullet"/>
      </w:pPr>
      <w:r>
        <w:t>Report programme progress against the 14¢ pick-cost recovery target rather than nine separate initiative scorecards, in exchange for a single quarterly review cadence.</w:t>
      </w:r>
    </w:p>
    <w:p>
      <w:pPr>
        <w:pStyle w:val="Heading1"/>
      </w:pPr>
      <w:r>
        <w:rPr>
          <w:rFonts w:ascii="Arial" w:hAnsi="Arial"/>
          <w:color w:val="1E2933"/>
        </w:rPr>
        <w:t>Anticipated questions</w:t>
      </w:r>
    </w:p>
    <w:p>
      <w:pPr>
        <w:pStyle w:val="Heading2"/>
      </w:pPr>
      <w:r>
        <w:rPr>
          <w:rFonts w:ascii="Arial" w:hAnsi="Arial"/>
          <w:color w:val="1E2933"/>
        </w:rPr>
        <w:t>Why not fund all nine initiatives — $22M of annual impact is on the table, why leave $9M on it?</w:t>
      </w:r>
    </w:p>
    <w:p>
      <w:r>
        <w:t>The four deferred initiatives are not killed, they are sequenced. Cross-dock at Lehigh and automated putaway at Columbus are High-effort builds at sites already scoring Leading on inbound accuracy — the capital returns more when directed at Reading and Tracy, where the peak actually broke. Temp-labour pooling and inbound ASN are small ($1.2M and $0.8M) and overlap with the funded pick-path and slotting workstreams. We deliver $12.9M before next peak and reopen the deferred set once WMS payback is proven.</w:t>
      </w:r>
    </w:p>
    <w:p>
      <w:pPr>
        <w:pStyle w:val="Heading2"/>
      </w:pPr>
      <w:r>
        <w:rPr>
          <w:rFonts w:ascii="Arial" w:hAnsi="Arial"/>
          <w:color w:val="1E2933"/>
        </w:rPr>
        <w:t>How do you know the 2025 peak break came from Reading and Tracy specifically — the cost curve is network-level?</w:t>
      </w:r>
    </w:p>
    <w:p>
      <w:r>
        <w:t>The evidence is the capability grid read across both axes. Reading and Tracy are the only two sites still on the oldest WMS; the other four migrated to the current platform in 2023. Both score Developing on three of four capabilities. Peak temp labour ran at 34% versus 19% off-peak — a 15-point spike that lands hardest at the sites with the weakest systems and labour flexibility. Volume growing 18% concentrates the marginal units on those two sites, which is what turns a $0.59 peak into $0.68.</w:t>
      </w:r>
    </w:p>
    <w:p>
      <w:pPr>
        <w:pStyle w:val="Heading2"/>
      </w:pPr>
      <w:r>
        <w:rPr>
          <w:rFonts w:ascii="Arial" w:hAnsi="Arial"/>
          <w:color w:val="1E2933"/>
        </w:rPr>
        <w:t>The WMS upgrade is High-effort at $4.1M annual impact — what makes it the exception when the other two High-effort builds defer?</w:t>
      </w:r>
    </w:p>
    <w:p>
      <w:r>
        <w:t>It targets where the cost problem lives. Reading and Tracy are the two structurally weakest sites in the network on the grid, and they are the two sites whose peak-volume handling drove the 9¢ deterioration versus 2024. Cross-dock at Lehigh and automated putaway at Columbus improve sites that already score Leading on their target capability — the marginal return per dollar is lower. WMS at Reading and Tracy fixes the floor; the other two build the ceiling once the floor holds.</w:t>
      </w:r>
    </w:p>
    <w:p>
      <w:pPr>
        <w:pStyle w:val="Heading2"/>
      </w:pPr>
      <w:r>
        <w:rPr>
          <w:rFonts w:ascii="Arial" w:hAnsi="Arial"/>
          <w:color w:val="1E2933"/>
        </w:rPr>
        <w:t>The 14¢ target implies pulling the peak from $0.68 down toward the $0.44 floor — is $12.9M of impact really enough to move a blended cost 14¢?</w:t>
      </w:r>
    </w:p>
    <w:p>
      <w:r>
        <w:t>At $410K per cent per year on 41M units of volume, $12.9M of annual impact equates to roughly 31 cents of blended pick-cost recovery capacity. The 14¢ recovery target from the November peak sits well inside that envelope and leaves headroom for the deferred initiatives to close the remaining gap later. The arithmetic is conservative, not aspirational.</w:t>
      </w:r>
    </w:p>
    <w:p>
      <w:pPr>
        <w:pStyle w:val="Heading2"/>
      </w:pPr>
      <w:r>
        <w:rPr>
          <w:rFonts w:ascii="Arial" w:hAnsi="Arial"/>
          <w:color w:val="1E2933"/>
        </w:rPr>
        <w:t>Operations gave impact estimates but no capital cost figures — how confident are we in the funding order without knowing what each initiative costs to build?</w:t>
      </w:r>
    </w:p>
    <w:p>
      <w:r>
        <w:t>Effort tier is the prioritisation proxy the case supplied, not a substitute for capital estimates we do not have. The funded bundle is weighted toward Low and Medium effort ($8.8M of the $12.9M comes from four non-High items) precisely because those return sooner regardless of the capital line. The one High-effort inclusion is WMS at Reading and Tracy, defended by the diagnostic evidence rather than by ROI arithmetic. We recommend booking capital estimates as the next work step before Q2 commit.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