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color w:val="1E3D2F"/>
        </w:rPr>
        <w:t>Corvara Health Payments — Remittance Reconciliation Diagnosis</w:t>
      </w:r>
    </w:p>
    <w:p>
      <w:r>
        <w:rPr>
          <w:i/>
        </w:rPr>
        <w:t>September 2026 · Operational Improvement · C Suite Roleplay</w:t>
      </w:r>
    </w:p>
    <w:p>
      <w:pPr>
        <w:pStyle w:val="Heading1"/>
      </w:pPr>
      <w:r>
        <w:rPr>
          <w:rFonts w:ascii="Arial" w:hAnsi="Arial"/>
          <w:color w:val="1E3D2F"/>
        </w:rPr>
        <w:t>Theory of the deal</w:t>
      </w:r>
    </w:p>
    <w:p>
      <w:r>
        <w:t>Corvara has $38.0M of remittance sitting unmatched, and the queue is structurally accumulating — every aging bucket rose month-over-month from July to December. The diagnosis: 58% of exceptions fail at one hop, claim-identifier mismatch at MATCH SERVICE. Our recommendation is to fix that single hop first — it clears $19.8M of the backlog directly and benefits all 61 health systems, including the two legacy accounts. Phase 2 migrates the two legacy systems to the standard remittance format; timing and malformed-file categories are deferred.</w:t>
      </w:r>
    </w:p>
    <w:p>
      <w:pPr>
        <w:pStyle w:val="Heading1"/>
      </w:pPr>
      <w:r>
        <w:rPr>
          <w:rFonts w:ascii="Arial" w:hAnsi="Arial"/>
          <w:color w:val="1E3D2F"/>
        </w:rPr>
        <w:t>Meeting overview</w:t>
      </w:r>
    </w:p>
    <w:p>
      <w:r>
        <w:rPr>
          <w:b/>
        </w:rPr>
        <w:t xml:space="preserve">Purpose: </w:t>
      </w:r>
      <w:r>
        <w:t>Present the diagnosis of where the $38.0M unmatched remittance stops in Corvara's flow and recommend which hop to fix first.</w:t>
      </w:r>
    </w:p>
    <w:p>
      <w:r>
        <w:rPr>
          <w:b/>
        </w:rPr>
        <w:t>Attendees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Our side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Their side</w:t>
            </w:r>
          </w:p>
        </w:tc>
      </w:tr>
      <w:tr>
        <w:tc>
          <w:tcPr>
            <w:tcW w:type="dxa" w:w="4320"/>
          </w:tcPr>
          <w:p>
            <w:r>
              <w:t>Solutions Strategy candidate</w:t>
            </w:r>
          </w:p>
        </w:tc>
        <w:tc>
          <w:tcPr>
            <w:tcW w:type="dxa" w:w="4320"/>
          </w:tcPr>
          <w:p>
            <w:r>
              <w:t>Interview panel — C-suite</w:t>
            </w:r>
          </w:p>
        </w:tc>
      </w:tr>
    </w:tbl>
    <w:p>
      <w:r>
        <w:rPr>
          <w:b/>
        </w:rPr>
        <w:t>Desired outcomes</w:t>
      </w:r>
    </w:p>
    <w:p>
      <w:r>
        <w:rPr>
          <w:b/>
        </w:rPr>
        <w:t>Must Have</w:t>
      </w:r>
    </w:p>
    <w:p>
      <w:pPr>
        <w:pStyle w:val="ListBullet"/>
      </w:pPr>
      <w:r>
        <w:t>Panel accepts MATCH SERVICE identifier fix as Phase 1 — the single hop addressing 58.0% of exceptions</w:t>
      </w:r>
    </w:p>
    <w:p>
      <w:pPr>
        <w:pStyle w:val="ListBullet"/>
      </w:pPr>
      <w:r>
        <w:t>Panel accepts sequencing: platform fix first, legacy-system migration in Phase 2</w:t>
      </w:r>
    </w:p>
    <w:p>
      <w:r>
        <w:rPr>
          <w:b/>
        </w:rPr>
        <w:t>Should Have</w:t>
      </w:r>
    </w:p>
    <w:p>
      <w:pPr>
        <w:pStyle w:val="ListBullet"/>
      </w:pPr>
      <w:r>
        <w:t>Panel accepts the payback-threshold framing ($861K annual value the fix must beat)</w:t>
      </w:r>
    </w:p>
    <w:p>
      <w:pPr>
        <w:pStyle w:val="ListBullet"/>
      </w:pPr>
      <w:r>
        <w:t>Panel accepts deferral of the 27.0% timing bucket and 12.0% malformed-file bucket to later phases</w:t>
      </w:r>
    </w:p>
    <w:p>
      <w:pPr>
        <w:pStyle w:val="ListBullet"/>
      </w:pPr>
      <w:r>
        <w:t>Panel acknowledges the aging table reading: queue is structurally accumulating, not clearing</w:t>
      </w:r>
    </w:p>
    <w:p>
      <w:r>
        <w:rPr>
          <w:b/>
        </w:rPr>
        <w:t>Nice to Have</w:t>
      </w:r>
    </w:p>
    <w:p>
      <w:pPr>
        <w:pStyle w:val="ListBullet"/>
      </w:pPr>
      <w:r>
        <w:t>Panel engages on legacy-system migration scope (2 of 61 systems, 44.0% of exceptions)</w:t>
      </w:r>
    </w:p>
    <w:p>
      <w:pPr>
        <w:pStyle w:val="Heading1"/>
      </w:pPr>
      <w:r>
        <w:rPr>
          <w:rFonts w:ascii="Arial" w:hAnsi="Arial"/>
          <w:color w:val="1E3D2F"/>
        </w:rPr>
        <w:t>Snapshot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Fact</w:t>
            </w:r>
          </w:p>
        </w:tc>
      </w:tr>
      <w:tr>
        <w:tc>
          <w:tcPr>
            <w:tcW w:type="dxa" w:w="4320"/>
          </w:tcPr>
          <w:p>
            <w:r>
              <w:t>Platform volume</w:t>
            </w:r>
          </w:p>
        </w:tc>
        <w:tc>
          <w:tcPr>
            <w:tcW w:type="dxa" w:w="4320"/>
          </w:tcPr>
          <w:p>
            <w:r>
              <w:t>$2.4B moved last year across 61 health systems</w:t>
            </w:r>
          </w:p>
        </w:tc>
      </w:tr>
      <w:tr>
        <w:tc>
          <w:tcPr>
            <w:tcW w:type="dxa" w:w="4320"/>
          </w:tcPr>
          <w:p>
            <w:r>
              <w:t>Unmatched balance</w:t>
            </w:r>
          </w:p>
        </w:tc>
        <w:tc>
          <w:tcPr>
            <w:tcW w:type="dxa" w:w="4320"/>
          </w:tcPr>
          <w:p>
            <w:r>
              <w:t>$38.0M sitting unmatched at MATCH SERVICE</w:t>
            </w:r>
          </w:p>
        </w:tc>
      </w:tr>
      <w:tr>
        <w:tc>
          <w:tcPr>
            <w:tcW w:type="dxa" w:w="4320"/>
          </w:tcPr>
          <w:p>
            <w:r>
              <w:t>Aging profile</w:t>
            </w:r>
          </w:p>
        </w:tc>
        <w:tc>
          <w:tcPr>
            <w:tcW w:type="dxa" w:w="4320"/>
          </w:tcPr>
          <w:p>
            <w:r>
              <w:t>Every bucket rising Jul→Dec; 0-30 grew 59.2%</w:t>
            </w:r>
          </w:p>
        </w:tc>
      </w:tr>
      <w:tr>
        <w:tc>
          <w:tcPr>
            <w:tcW w:type="dxa" w:w="4320"/>
          </w:tcPr>
          <w:p>
            <w:r>
              <w:t>Top failure mode</w:t>
            </w:r>
          </w:p>
        </w:tc>
        <w:tc>
          <w:tcPr>
            <w:tcW w:type="dxa" w:w="4320"/>
          </w:tcPr>
          <w:p>
            <w:r>
              <w:t>58.0% fail on claim-identifier mismatch at MATCH SERVICE</w:t>
            </w:r>
          </w:p>
        </w:tc>
      </w:tr>
      <w:tr>
        <w:tc>
          <w:tcPr>
            <w:tcW w:type="dxa" w:w="4320"/>
          </w:tcPr>
          <w:p>
            <w:r>
              <w:t>Second failure</w:t>
            </w:r>
          </w:p>
        </w:tc>
        <w:tc>
          <w:tcPr>
            <w:tcW w:type="dxa" w:w="4320"/>
          </w:tcPr>
          <w:p>
            <w:r>
              <w:t>27.0% fail on timing — remittance arrived before funds settled</w:t>
            </w:r>
          </w:p>
        </w:tc>
      </w:tr>
      <w:tr>
        <w:tc>
          <w:tcPr>
            <w:tcW w:type="dxa" w:w="4320"/>
          </w:tcPr>
          <w:p>
            <w:r>
              <w:t>Third failure</w:t>
            </w:r>
          </w:p>
        </w:tc>
        <w:tc>
          <w:tcPr>
            <w:tcW w:type="dxa" w:w="4320"/>
          </w:tcPr>
          <w:p>
            <w:r>
              <w:t>12.0% fail on malformed remittance file at payer</w:t>
            </w:r>
          </w:p>
        </w:tc>
      </w:tr>
      <w:tr>
        <w:tc>
          <w:tcPr>
            <w:tcW w:type="dxa" w:w="4320"/>
          </w:tcPr>
          <w:p>
            <w:r>
              <w:t>Unclassified</w:t>
            </w:r>
          </w:p>
        </w:tc>
        <w:tc>
          <w:tcPr>
            <w:tcW w:type="dxa" w:w="4320"/>
          </w:tcPr>
          <w:p>
            <w:r>
              <w:t>3.0% fail for reasons operations has not classified</w:t>
            </w:r>
          </w:p>
        </w:tc>
      </w:tr>
      <w:tr>
        <w:tc>
          <w:tcPr>
            <w:tcW w:type="dxa" w:w="4320"/>
          </w:tcPr>
          <w:p>
            <w:r>
              <w:t>Analyst throughput</w:t>
            </w:r>
          </w:p>
        </w:tc>
        <w:tc>
          <w:tcPr>
            <w:tcW w:type="dxa" w:w="4320"/>
          </w:tcPr>
          <w:p>
            <w:r>
              <w:t>90 exceptions cleared per day per analyst</w:t>
            </w:r>
          </w:p>
        </w:tc>
      </w:tr>
      <w:tr>
        <w:tc>
          <w:tcPr>
            <w:tcW w:type="dxa" w:w="4320"/>
          </w:tcPr>
          <w:p>
            <w:r>
              <w:t>Cost per exception</w:t>
            </w:r>
          </w:p>
        </w:tc>
        <w:tc>
          <w:tcPr>
            <w:tcW w:type="dxa" w:w="4320"/>
          </w:tcPr>
          <w:p>
            <w:r>
              <w:t>$0.31 fully loaded at current queue mix</w:t>
            </w:r>
          </w:p>
        </w:tc>
      </w:tr>
      <w:tr>
        <w:tc>
          <w:tcPr>
            <w:tcW w:type="dxa" w:w="4320"/>
          </w:tcPr>
          <w:p>
            <w:r>
              <w:t>Write-off rate</w:t>
            </w:r>
          </w:p>
        </w:tc>
        <w:tc>
          <w:tcPr>
            <w:tcW w:type="dxa" w:w="4320"/>
          </w:tcPr>
          <w:p>
            <w:r>
              <w:t>0.03% of all claims never clear</w:t>
            </w:r>
          </w:p>
        </w:tc>
      </w:tr>
      <w:tr>
        <w:tc>
          <w:tcPr>
            <w:tcW w:type="dxa" w:w="4320"/>
          </w:tcPr>
          <w:p>
            <w:r>
              <w:t>Legacy concentration</w:t>
            </w:r>
          </w:p>
        </w:tc>
        <w:tc>
          <w:tcPr>
            <w:tcW w:type="dxa" w:w="4320"/>
          </w:tcPr>
          <w:p>
            <w:r>
              <w:t>2 of 61 systems generate 44.0% of exceptions (3.3% of client base)</w:t>
            </w:r>
          </w:p>
        </w:tc>
      </w:tr>
      <w:tr>
        <w:tc>
          <w:tcPr>
            <w:tcW w:type="dxa" w:w="4320"/>
          </w:tcPr>
          <w:p>
            <w:r>
              <w:t>Legacy format</w:t>
            </w:r>
          </w:p>
        </w:tc>
        <w:tc>
          <w:tcPr>
            <w:tcW w:type="dxa" w:w="4320"/>
          </w:tcPr>
          <w:p>
            <w:r>
              <w:t>Both legacy systems onboarded before MATCH SERVICE existed</w:t>
            </w:r>
          </w:p>
        </w:tc>
      </w:tr>
      <w:tr>
        <w:tc>
          <w:tcPr>
            <w:tcW w:type="dxa" w:w="4320"/>
          </w:tcPr>
          <w:p>
            <w:r>
              <w:t>Flow architecture</w:t>
            </w:r>
          </w:p>
        </w:tc>
        <w:tc>
          <w:tcPr>
            <w:tcW w:type="dxa" w:w="4320"/>
          </w:tcPr>
          <w:p>
            <w:r>
              <w:t>PAYER PORTAL fans out to two paths; they rejoin at MATCH SERVICE</w:t>
            </w:r>
          </w:p>
        </w:tc>
      </w:tr>
    </w:tbl>
    <w:p>
      <w:pPr>
        <w:pStyle w:val="Heading1"/>
      </w:pPr>
      <w:r>
        <w:rPr>
          <w:rFonts w:ascii="Arial" w:hAnsi="Arial"/>
          <w:color w:val="1E3D2F"/>
        </w:rPr>
        <w:t>Performance to date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What we know</w:t>
            </w:r>
          </w:p>
        </w:tc>
        <w:tc>
          <w:tcPr>
            <w:tcW w:type="dxa" w:w="4320"/>
          </w:tcPr>
          <w:p>
            <w:r>
              <w:t>What is unresolved</w:t>
            </w:r>
          </w:p>
        </w:tc>
      </w:tr>
      <w:tr>
        <w:tc>
          <w:tcPr>
            <w:tcW w:type="dxa" w:w="4320"/>
          </w:tcPr>
          <w:p>
            <w:r>
              <w:t>Failure mix is quantified: 58.0% identifier mismatch, 27.0% timing, 12.0% malformed, 3.0% unclassified</w:t>
            </w:r>
          </w:p>
        </w:tc>
        <w:tc>
          <w:tcPr>
            <w:tcW w:type="dxa" w:w="4320"/>
          </w:tcPr>
          <w:p>
            <w:r>
              <w:t>MATCH SERVICE fix implementation cost — case gave none; ROI framed as payback threshold rather than NPV</w:t>
            </w:r>
          </w:p>
        </w:tc>
      </w:tr>
      <w:tr>
        <w:tc>
          <w:tcPr>
            <w:tcW w:type="dxa" w:w="4320"/>
          </w:tcPr>
          <w:p>
            <w:r>
              <w:t>Backlog composition is quantified: $22.0M identifier, $10.3M timing, $4.6M malformed, $1.1M unclassified</w:t>
            </w:r>
          </w:p>
        </w:tc>
        <w:tc>
          <w:tcPr>
            <w:tcW w:type="dxa" w:w="4320"/>
          </w:tcPr>
          <w:p>
            <w:r>
              <w:t>Analyst headcount on the exception queue — sized from per-exception cost, not from a headcount input</w:t>
            </w:r>
          </w:p>
        </w:tc>
      </w:tr>
      <w:tr>
        <w:tc>
          <w:tcPr>
            <w:tcW w:type="dxa" w:w="4320"/>
          </w:tcPr>
          <w:p>
            <w:r>
              <w:t>Aging trend is quantified: 0-30 bucket grew 59.2% from July to December, every bucket rising</w:t>
            </w:r>
          </w:p>
        </w:tc>
        <w:tc>
          <w:tcPr>
            <w:tcW w:type="dxa" w:w="4320"/>
          </w:tcPr>
          <w:p>
            <w:r>
              <w:t>27.0% timing failures — hold-and-retry mechanism deferred to a later phase</w:t>
            </w:r>
          </w:p>
        </w:tc>
      </w:tr>
      <w:tr>
        <w:tc>
          <w:tcPr>
            <w:tcW w:type="dxa" w:w="4320"/>
          </w:tcPr>
          <w:p>
            <w:r>
              <w:t>Concentration is quantified: 2 of 61 systems generate 44.0% of exceptions</w:t>
            </w:r>
          </w:p>
        </w:tc>
        <w:tc>
          <w:tcPr>
            <w:tcW w:type="dxa" w:w="4320"/>
          </w:tcPr>
          <w:p>
            <w:r>
              <w:t>12.0% malformed-file failures — payer-side handling deferred to a later phase</w:t>
            </w:r>
          </w:p>
        </w:tc>
      </w:tr>
      <w:tr>
        <w:tc>
          <w:tcPr>
            <w:tcW w:type="dxa" w:w="4320"/>
          </w:tcPr>
          <w:p>
            <w:r>
              <w:t>Unit ops economics are quantified: 90 exceptions/day per analyst at $0.31 per cleared exception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rPr>
          <w:rFonts w:ascii="Arial" w:hAnsi="Arial"/>
          <w:color w:val="1E3D2F"/>
        </w:rPr>
        <w:t>Headline numbers</w:t>
      </w:r>
    </w:p>
    <w:p>
      <w:pPr>
        <w:pStyle w:val="ListBullet"/>
      </w:pPr>
      <w:r>
        <w:rPr>
          <w:b/>
        </w:rPr>
        <w:t>$19.8M</w:t>
      </w:r>
      <w:r>
        <w:t xml:space="preserve"> — Backlog cleared by fix</w:t>
      </w:r>
    </w:p>
    <w:p>
      <w:r>
        <w:t>Backlog the Phase 1 fix directly removes — 58.0% × 90.0% of the $38.0M pile.</w:t>
      </w:r>
    </w:p>
    <w:p>
      <w:r>
        <w:rPr>
          <w:i/>
        </w:rPr>
        <w:t>(Phase 1, MATCH SERVICE identifier fix)</w:t>
      </w:r>
    </w:p>
    <w:p>
      <w:pPr>
        <w:pStyle w:val="ListBullet"/>
      </w:pPr>
      <w:r>
        <w:rPr>
          <w:b/>
        </w:rPr>
        <w:t>$861K</w:t>
      </w:r>
      <w:r>
        <w:t xml:space="preserve"> — Annual value fix must beat</w:t>
      </w:r>
    </w:p>
    <w:p>
      <w:r>
        <w:t>Ops savings plus avoided write-off — the run-rate benefit the build must clear to pay back.</w:t>
      </w:r>
    </w:p>
    <w:p>
      <w:pPr>
        <w:pStyle w:val="ListBullet"/>
      </w:pPr>
      <w:r>
        <w:rPr>
          <w:b/>
        </w:rPr>
        <w:t>$485K</w:t>
      </w:r>
      <w:r>
        <w:t xml:space="preserve"> — Annual ops cost saved</w:t>
      </w:r>
    </w:p>
    <w:p>
      <w:r>
        <w:t>Cost reduction from shrinking the exception queue by the identifier-mismatch share.</w:t>
      </w:r>
    </w:p>
    <w:p>
      <w:pPr>
        <w:pStyle w:val="ListBullet"/>
      </w:pPr>
      <w:r>
        <w:rPr>
          <w:b/>
        </w:rPr>
        <w:t>$376K</w:t>
      </w:r>
      <w:r>
        <w:t xml:space="preserve"> — Annual write-off avoided</w:t>
      </w:r>
    </w:p>
    <w:p>
      <w:r>
        <w:t>Write-off dollars prevented by clearing the identifier bucket before claims age out.</w:t>
      </w:r>
    </w:p>
    <w:p>
      <w:pPr>
        <w:pStyle w:val="Heading1"/>
      </w:pPr>
      <w:r>
        <w:rPr>
          <w:rFonts w:ascii="Arial" w:hAnsi="Arial"/>
          <w:color w:val="1E3D2F"/>
        </w:rPr>
        <w:t>Asks &amp; concessions</w:t>
      </w:r>
    </w:p>
    <w:p>
      <w:r>
        <w:rPr>
          <w:b/>
        </w:rPr>
        <w:t>Must have</w:t>
      </w:r>
    </w:p>
    <w:p>
      <w:pPr>
        <w:pStyle w:val="ListBullet"/>
      </w:pPr>
      <w:r>
        <w:t>Fix the claim-identifier mapping at the MATCH SERVICE hop first; migrate the two legacy health systems in a subsequent phase</w:t>
      </w:r>
    </w:p>
    <w:p>
      <w:pPr>
        <w:pStyle w:val="ListBullet"/>
      </w:pPr>
      <w:r>
        <w:t>Accept the aging reading: the queue is structurally accumulating, so adding analysts scales linearly against a compounding problem</w:t>
      </w:r>
    </w:p>
    <w:p>
      <w:r>
        <w:rPr>
          <w:b/>
        </w:rPr>
        <w:t>Should have</w:t>
      </w:r>
    </w:p>
    <w:p>
      <w:pPr>
        <w:pStyle w:val="ListBullet"/>
      </w:pPr>
      <w:r>
        <w:t>Approve build against the $861K annual payback threshold rather than requiring a hard NPV</w:t>
      </w:r>
    </w:p>
    <w:p>
      <w:pPr>
        <w:pStyle w:val="ListBullet"/>
      </w:pPr>
      <w:r>
        <w:t>Hold analyst headcount flat; let the fix absorb the identifier volume before revisiting staffing</w:t>
      </w:r>
    </w:p>
    <w:p>
      <w:r>
        <w:rPr>
          <w:b/>
        </w:rPr>
        <w:t>Nice to have</w:t>
      </w:r>
    </w:p>
    <w:p>
      <w:pPr>
        <w:pStyle w:val="ListBullet"/>
      </w:pPr>
      <w:r>
        <w:t>Scope timing (27.0%) and malformed-file (12.0%) fixes as later phases, not concurrent workstreams</w:t>
      </w:r>
    </w:p>
    <w:p>
      <w:r>
        <w:rPr>
          <w:b/>
        </w:rPr>
        <w:t>Concessions</w:t>
      </w:r>
    </w:p>
    <w:p>
      <w:pPr>
        <w:pStyle w:val="ListBullet"/>
      </w:pPr>
      <w:r>
        <w:t>We commit that the two legacy health systems are migrated to the standard remittance format in Phase 2, after the MATCH SERVICE identifier fix ships; no immediate cutover, in exchange for panel approval to prioritize the platform fix in Phase 1.</w:t>
      </w:r>
    </w:p>
    <w:p>
      <w:pPr>
        <w:pStyle w:val="ListBullet"/>
      </w:pPr>
      <w:r>
        <w:t>We hold the identifier-fix coverage at 90.0% rather than 100% in the payback sizing, in exchange for confidence that the $861K annual value is not overstated.</w:t>
      </w:r>
    </w:p>
    <w:p>
      <w:pPr>
        <w:pStyle w:val="ListBullet"/>
      </w:pPr>
      <w:r>
        <w:t>We accept that timing and malformed-file failures remain uncleared in Phase 1, in exchange for engineering focus on the single hop with 58.0% share across all 61 systems.</w:t>
      </w:r>
    </w:p>
    <w:p>
      <w:pPr>
        <w:pStyle w:val="Heading1"/>
      </w:pPr>
      <w:r>
        <w:rPr>
          <w:rFonts w:ascii="Arial" w:hAnsi="Arial"/>
          <w:color w:val="1E3D2F"/>
        </w:rPr>
        <w:t>Anticipated questions</w:t>
      </w:r>
    </w:p>
    <w:p>
      <w:pPr>
        <w:pStyle w:val="Heading2"/>
      </w:pPr>
      <w:r>
        <w:rPr>
          <w:rFonts w:ascii="Arial" w:hAnsi="Arial"/>
          <w:color w:val="1E3D2F"/>
        </w:rPr>
        <w:t>Why fix one hop when two health systems drive 44% of the exception volume — shouldn't we just migrate them?</w:t>
      </w:r>
    </w:p>
    <w:p>
      <w:r>
        <w:t>The MATCH SERVICE identifier fix benefits all 61 systems, including the two legacy ones. 58.0% of exceptions fail on identifier mismatch platform-wide, so the fix clears $19.8M of the $38.0M backlog directly. Migrating two accounts only touches 44.0% of exception volume from 3.3% of the client base and leaves the other 59 systems' identifier failures untouched. The platform fix first is the higher-leverage move; the legacy migration is Phase 2, after the fix has absorbed what it can.</w:t>
      </w:r>
    </w:p>
    <w:p>
      <w:pPr>
        <w:pStyle w:val="Heading2"/>
      </w:pPr>
      <w:r>
        <w:rPr>
          <w:rFonts w:ascii="Arial" w:hAnsi="Arial"/>
          <w:color w:val="1E3D2F"/>
        </w:rPr>
        <w:t>You don't have a build cost — how can you recommend spending on this fix?</w:t>
      </w:r>
    </w:p>
    <w:p>
      <w:r>
        <w:t>The recommendation is a payback threshold, not an NPV. The fix generates $861K in annual run-rate value — $485K in ops savings from a smaller exception queue plus $376K in avoided write-offs. If the build costs less than that per year of expected life, it pays back. We frame it this way deliberately: inventing a build cost to produce a fake NPV would be worse than naming the threshold and letting engineering size against it.</w:t>
      </w:r>
    </w:p>
    <w:p>
      <w:pPr>
        <w:pStyle w:val="Heading2"/>
      </w:pPr>
      <w:r>
        <w:rPr>
          <w:rFonts w:ascii="Arial" w:hAnsi="Arial"/>
          <w:color w:val="1E3D2F"/>
        </w:rPr>
        <w:t>The aging table shows things getting worse — why not throw more analysts at the queue while you build the fix?</w:t>
      </w:r>
    </w:p>
    <w:p>
      <w:r>
        <w:t>The queue is structurally accumulating — the 0-30 bucket alone grew 59.2% from July to December, and every bucket is rising. At 90 exceptions per day per analyst and $0.31 per cleared exception, linear headcount cannot catch a compounding queue. Adding analysts scales the cost without changing the trajectory. The fix removes 58.0% of the inflow, which is what actually bends the curve.</w:t>
      </w:r>
    </w:p>
    <w:p>
      <w:pPr>
        <w:pStyle w:val="Heading2"/>
      </w:pPr>
      <w:r>
        <w:rPr>
          <w:rFonts w:ascii="Arial" w:hAnsi="Arial"/>
          <w:color w:val="1E3D2F"/>
        </w:rPr>
        <w:t>What about the 27% timing failures and 12% malformed files — you're leaving 39% of the problem on the table.</w:t>
      </w:r>
    </w:p>
    <w:p>
      <w:r>
        <w:t>Both are real and both are Phase 3+. Timing failures need a hold-and-retry mechanism at MATCH SERVICE — a different architectural change. Malformed files need payer-side remediation, which is a slower conversation. Concentrating engineering on the 58.0% identifier bucket first delivers $19.8M of backlog clearance and $861K annual value from one workstream; fragmenting across three concurrent fixes delays all of them.</w:t>
      </w:r>
    </w:p>
    <w:p>
      <w:pPr>
        <w:pStyle w:val="Heading2"/>
      </w:pPr>
      <w:r>
        <w:rPr>
          <w:rFonts w:ascii="Arial" w:hAnsi="Arial"/>
          <w:color w:val="1E3D2F"/>
        </w:rPr>
        <w:t>How do we know the identifier fix actually clears 90% of that bucket — that assumption is doing a lot of work.</w:t>
      </w:r>
    </w:p>
    <w:p>
      <w:r>
        <w:t>It is — we held it at 90.0% rather than 100% precisely because some identifier failures will be edge cases with genuinely bad data at the payer that no mapping fix will resolve. If actual coverage is lower, the $19.8M cleared and the $861K annual value scale proportionally. The payback-threshold framing absorbs that uncertainty: the fix still pays back at 70% coverage if the build cost is proportionally lower.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